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3" w:type="dxa"/>
        <w:tblCellMar>
          <w:left w:w="0" w:type="dxa"/>
          <w:right w:w="0" w:type="dxa"/>
        </w:tblCellMar>
        <w:tblLook w:val="04A0" w:firstRow="1" w:lastRow="0" w:firstColumn="1" w:lastColumn="0" w:noHBand="0" w:noVBand="1"/>
      </w:tblPr>
      <w:tblGrid>
        <w:gridCol w:w="9823"/>
      </w:tblGrid>
      <w:tr w:rsidR="007E5569" w:rsidRPr="007747CC" w14:paraId="37919914" w14:textId="77777777" w:rsidTr="0056196E">
        <w:trPr>
          <w:trHeight w:val="1758"/>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823"/>
            </w:tblGrid>
            <w:tr w:rsidR="007E5569" w:rsidRPr="007747CC" w14:paraId="0AD45C84" w14:textId="77777777" w:rsidTr="0056196E">
              <w:trPr>
                <w:trHeight w:val="1758"/>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823"/>
                  </w:tblGrid>
                  <w:tr w:rsidR="007E5569" w:rsidRPr="007747CC" w14:paraId="2F0AE353" w14:textId="77777777" w:rsidTr="0056196E">
                    <w:trPr>
                      <w:trHeight w:val="1758"/>
                    </w:trPr>
                    <w:tc>
                      <w:tcPr>
                        <w:tcW w:w="0" w:type="auto"/>
                        <w:hideMark/>
                      </w:tcPr>
                      <w:tbl>
                        <w:tblPr>
                          <w:tblW w:w="4896" w:type="pct"/>
                          <w:tblCellMar>
                            <w:left w:w="0" w:type="dxa"/>
                            <w:right w:w="0" w:type="dxa"/>
                          </w:tblCellMar>
                          <w:tblLook w:val="04A0" w:firstRow="1" w:lastRow="0" w:firstColumn="1" w:lastColumn="0" w:noHBand="0" w:noVBand="1"/>
                        </w:tblPr>
                        <w:tblGrid>
                          <w:gridCol w:w="9619"/>
                        </w:tblGrid>
                        <w:tr w:rsidR="007E5569" w:rsidRPr="007747CC" w14:paraId="33AABC58" w14:textId="77777777" w:rsidTr="0056196E">
                          <w:trPr>
                            <w:trHeight w:val="826"/>
                          </w:trPr>
                          <w:tc>
                            <w:tcPr>
                              <w:tcW w:w="0" w:type="auto"/>
                              <w:tcMar>
                                <w:top w:w="150" w:type="dxa"/>
                                <w:left w:w="300" w:type="dxa"/>
                                <w:bottom w:w="150" w:type="dxa"/>
                                <w:right w:w="300" w:type="dxa"/>
                              </w:tcMar>
                              <w:vAlign w:val="center"/>
                              <w:hideMark/>
                            </w:tcPr>
                            <w:p w14:paraId="70A98D9D" w14:textId="77777777" w:rsidR="007E5569" w:rsidRPr="007747CC" w:rsidRDefault="007E5569" w:rsidP="0056196E">
                              <w:pPr>
                                <w:spacing w:line="585" w:lineRule="atLeast"/>
                                <w:jc w:val="center"/>
                                <w:rPr>
                                  <w:rFonts w:ascii="Knowledge Black" w:hAnsi="Knowledge Black" w:cs="Arial"/>
                                  <w:color w:val="555555"/>
                                  <w:sz w:val="16"/>
                                  <w:szCs w:val="16"/>
                                </w:rPr>
                              </w:pPr>
                              <w:r w:rsidRPr="007747CC">
                                <w:rPr>
                                  <w:rFonts w:ascii="Knowledge Black" w:hAnsi="Knowledge Black" w:cs="Arial"/>
                                  <w:color w:val="FF8000"/>
                                  <w:sz w:val="36"/>
                                  <w:szCs w:val="36"/>
                                </w:rPr>
                                <w:t xml:space="preserve">Save Big with End-of-Year Discounts on </w:t>
                              </w:r>
                              <w:proofErr w:type="spellStart"/>
                              <w:r w:rsidRPr="007747CC">
                                <w:rPr>
                                  <w:rFonts w:ascii="Knowledge Black" w:hAnsi="Knowledge Black" w:cs="Arial"/>
                                  <w:color w:val="FF8000"/>
                                  <w:sz w:val="36"/>
                                  <w:szCs w:val="36"/>
                                </w:rPr>
                                <w:t>Quickfinder</w:t>
                              </w:r>
                              <w:proofErr w:type="spellEnd"/>
                              <w:r w:rsidRPr="007747CC">
                                <w:rPr>
                                  <w:rFonts w:ascii="Knowledge Black" w:hAnsi="Knowledge Black" w:cs="Arial"/>
                                  <w:color w:val="FF8000"/>
                                  <w:sz w:val="36"/>
                                  <w:szCs w:val="36"/>
                                </w:rPr>
                                <w:t xml:space="preserve"> Handbooks! Order and save with </w:t>
                              </w:r>
                              <w:r w:rsidRPr="00B26E61">
                                <w:rPr>
                                  <w:rFonts w:ascii="Knowledge Black" w:hAnsi="Knowledge Black" w:cs="Arial"/>
                                  <w:noProof/>
                                  <w:color w:val="FF8000"/>
                                  <w:sz w:val="36"/>
                                  <w:szCs w:val="36"/>
                                </w:rPr>
                                <w:t>National Association of Tax Professionals (</w:t>
                              </w:r>
                              <w:bookmarkStart w:id="0" w:name="_GoBack"/>
                              <w:r w:rsidRPr="00B26E61">
                                <w:rPr>
                                  <w:rFonts w:ascii="Knowledge Black" w:hAnsi="Knowledge Black" w:cs="Arial"/>
                                  <w:noProof/>
                                  <w:color w:val="FF8000"/>
                                  <w:sz w:val="36"/>
                                  <w:szCs w:val="36"/>
                                </w:rPr>
                                <w:t>NATP</w:t>
                              </w:r>
                              <w:bookmarkEnd w:id="0"/>
                              <w:r w:rsidRPr="00B26E61">
                                <w:rPr>
                                  <w:rFonts w:ascii="Knowledge Black" w:hAnsi="Knowledge Black" w:cs="Arial"/>
                                  <w:noProof/>
                                  <w:color w:val="FF8000"/>
                                  <w:sz w:val="36"/>
                                  <w:szCs w:val="36"/>
                                </w:rPr>
                                <w:t>)</w:t>
                              </w:r>
                              <w:r w:rsidRPr="007747CC">
                                <w:rPr>
                                  <w:rFonts w:ascii="Knowledge Black" w:hAnsi="Knowledge Black" w:cs="Arial"/>
                                  <w:color w:val="FF8000"/>
                                  <w:sz w:val="36"/>
                                  <w:szCs w:val="36"/>
                                </w:rPr>
                                <w:t>!</w:t>
                              </w:r>
                            </w:p>
                          </w:tc>
                        </w:tr>
                      </w:tbl>
                      <w:p w14:paraId="38083CA2" w14:textId="77777777" w:rsidR="007E5569" w:rsidRPr="007747CC" w:rsidRDefault="007E5569" w:rsidP="0056196E">
                        <w:pPr>
                          <w:rPr>
                            <w:rFonts w:ascii="Knowledge Regular" w:eastAsia="Times New Roman" w:hAnsi="Knowledge Regular" w:cs="Times New Roman"/>
                            <w:sz w:val="16"/>
                            <w:szCs w:val="16"/>
                          </w:rPr>
                        </w:pPr>
                      </w:p>
                    </w:tc>
                  </w:tr>
                </w:tbl>
                <w:p w14:paraId="4FBFC423" w14:textId="77777777" w:rsidR="007E5569" w:rsidRPr="007747CC" w:rsidRDefault="007E5569" w:rsidP="0056196E">
                  <w:pPr>
                    <w:rPr>
                      <w:rFonts w:ascii="Knowledge Regular" w:eastAsia="Times New Roman" w:hAnsi="Knowledge Regular" w:cs="Times New Roman"/>
                      <w:sz w:val="16"/>
                      <w:szCs w:val="16"/>
                    </w:rPr>
                  </w:pPr>
                </w:p>
              </w:tc>
            </w:tr>
          </w:tbl>
          <w:p w14:paraId="0FEDF9B7" w14:textId="77777777" w:rsidR="007E5569" w:rsidRPr="007747CC" w:rsidRDefault="007E5569" w:rsidP="0056196E">
            <w:pPr>
              <w:rPr>
                <w:rFonts w:ascii="Knowledge Regular" w:eastAsia="Times New Roman" w:hAnsi="Knowledge Regular" w:cs="Times New Roman"/>
                <w:sz w:val="16"/>
                <w:szCs w:val="16"/>
              </w:rPr>
            </w:pPr>
          </w:p>
        </w:tc>
      </w:tr>
      <w:tr w:rsidR="007E5569" w:rsidRPr="007747CC" w14:paraId="3B38FC3B" w14:textId="77777777" w:rsidTr="0056196E">
        <w:trPr>
          <w:trHeight w:val="5907"/>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823"/>
            </w:tblGrid>
            <w:tr w:rsidR="007E5569" w:rsidRPr="007747CC" w14:paraId="22DE11AD" w14:textId="77777777" w:rsidTr="0056196E">
              <w:trPr>
                <w:trHeight w:val="5919"/>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823"/>
                  </w:tblGrid>
                  <w:tr w:rsidR="007E5569" w:rsidRPr="007747CC" w14:paraId="2121EE8D" w14:textId="77777777" w:rsidTr="0056196E">
                    <w:trPr>
                      <w:trHeight w:val="5919"/>
                    </w:trPr>
                    <w:tc>
                      <w:tcPr>
                        <w:tcW w:w="0" w:type="auto"/>
                        <w:hideMark/>
                      </w:tcPr>
                      <w:tbl>
                        <w:tblPr>
                          <w:tblW w:w="9819" w:type="dxa"/>
                          <w:tblCellMar>
                            <w:left w:w="0" w:type="dxa"/>
                            <w:right w:w="0" w:type="dxa"/>
                          </w:tblCellMar>
                          <w:tblLook w:val="04A0" w:firstRow="1" w:lastRow="0" w:firstColumn="1" w:lastColumn="0" w:noHBand="0" w:noVBand="1"/>
                        </w:tblPr>
                        <w:tblGrid>
                          <w:gridCol w:w="3337"/>
                          <w:gridCol w:w="786"/>
                          <w:gridCol w:w="4911"/>
                          <w:gridCol w:w="412"/>
                          <w:gridCol w:w="373"/>
                        </w:tblGrid>
                        <w:tr w:rsidR="007E5569" w:rsidRPr="007747CC" w14:paraId="1FB8C78A" w14:textId="77777777" w:rsidTr="0056196E">
                          <w:trPr>
                            <w:gridAfter w:val="1"/>
                            <w:wAfter w:w="190" w:type="pct"/>
                            <w:trHeight w:val="1414"/>
                          </w:trPr>
                          <w:tc>
                            <w:tcPr>
                              <w:tcW w:w="0" w:type="auto"/>
                              <w:gridSpan w:val="4"/>
                              <w:shd w:val="clear" w:color="auto" w:fill="FFFFFF"/>
                              <w:tcMar>
                                <w:top w:w="300" w:type="dxa"/>
                                <w:left w:w="300" w:type="dxa"/>
                                <w:bottom w:w="300" w:type="dxa"/>
                                <w:right w:w="300" w:type="dxa"/>
                              </w:tcMar>
                              <w:vAlign w:val="center"/>
                            </w:tcPr>
                            <w:p w14:paraId="67AA6590" w14:textId="77777777" w:rsidR="007E5569" w:rsidRPr="007747CC" w:rsidRDefault="007E5569" w:rsidP="0056196E">
                              <w:pPr>
                                <w:spacing w:line="293" w:lineRule="atLeast"/>
                                <w:jc w:val="center"/>
                                <w:rPr>
                                  <w:rFonts w:ascii="Knowledge Regular" w:hAnsi="Knowledge Regular" w:cs="Arial"/>
                                  <w:color w:val="555555"/>
                                  <w:sz w:val="20"/>
                                  <w:szCs w:val="20"/>
                                </w:rPr>
                              </w:pPr>
                              <w:proofErr w:type="spellStart"/>
                              <w:r w:rsidRPr="007747CC">
                                <w:rPr>
                                  <w:rFonts w:ascii="Knowledge Regular" w:hAnsi="Knowledge Regular" w:cs="Arial"/>
                                  <w:color w:val="555555"/>
                                  <w:sz w:val="20"/>
                                  <w:szCs w:val="20"/>
                                </w:rPr>
                                <w:t>Quickfinder</w:t>
                              </w:r>
                              <w:proofErr w:type="spellEnd"/>
                              <w:r w:rsidRPr="007747CC">
                                <w:rPr>
                                  <w:rFonts w:ascii="Knowledge Regular" w:hAnsi="Knowledge Regular" w:cs="Arial"/>
                                  <w:color w:val="555555"/>
                                  <w:sz w:val="20"/>
                                  <w:szCs w:val="20"/>
                                </w:rPr>
                                <w:t xml:space="preserve"> Handbooks are your quick reference for common tax questions and insights – the easy-to-understand language, charts and tables answer your questions using various examples that highlight real-life situations. Available in print or eBook, </w:t>
                              </w:r>
                              <w:proofErr w:type="spellStart"/>
                              <w:r w:rsidRPr="007747CC">
                                <w:rPr>
                                  <w:rFonts w:ascii="Knowledge Regular" w:hAnsi="Knowledge Regular" w:cs="Arial"/>
                                  <w:color w:val="555555"/>
                                  <w:sz w:val="20"/>
                                  <w:szCs w:val="20"/>
                                </w:rPr>
                                <w:t>Quickfinder</w:t>
                              </w:r>
                              <w:proofErr w:type="spellEnd"/>
                              <w:r w:rsidRPr="007747CC">
                                <w:rPr>
                                  <w:rFonts w:ascii="Knowledge Regular" w:hAnsi="Knowledge Regular" w:cs="Arial"/>
                                  <w:color w:val="555555"/>
                                  <w:sz w:val="20"/>
                                  <w:szCs w:val="20"/>
                                </w:rPr>
                                <w:t xml:space="preserve"> Handbooks work where you do this tax season.</w:t>
                              </w:r>
                            </w:p>
                            <w:p w14:paraId="0F07223A" w14:textId="77777777" w:rsidR="007E5569" w:rsidRPr="007747CC" w:rsidRDefault="007E5569" w:rsidP="0056196E">
                              <w:pPr>
                                <w:spacing w:line="293" w:lineRule="atLeast"/>
                                <w:jc w:val="center"/>
                                <w:rPr>
                                  <w:rFonts w:ascii="Knowledge Black" w:hAnsi="Knowledge Black" w:cs="Arial"/>
                                  <w:color w:val="555555"/>
                                  <w:sz w:val="16"/>
                                  <w:szCs w:val="16"/>
                                </w:rPr>
                              </w:pPr>
                              <w:r w:rsidRPr="007747CC">
                                <w:rPr>
                                  <w:rStyle w:val="Strong"/>
                                  <w:rFonts w:ascii="Knowledge Black" w:hAnsi="Knowledge Black" w:cs="Arial"/>
                                  <w:color w:val="FF8000"/>
                                  <w:sz w:val="24"/>
                                  <w:szCs w:val="24"/>
                                </w:rPr>
                                <w:t xml:space="preserve">Order now at </w:t>
                              </w:r>
                              <w:r w:rsidRPr="00B26E61">
                                <w:rPr>
                                  <w:rFonts w:ascii="Knowledge Black" w:hAnsi="Knowledge Black" w:cs="Arial"/>
                                  <w:b/>
                                  <w:bCs/>
                                  <w:noProof/>
                                  <w:color w:val="FF8000"/>
                                  <w:sz w:val="24"/>
                                  <w:szCs w:val="24"/>
                                </w:rPr>
                                <w:t>tax.tr.com/NATP</w:t>
                              </w:r>
                              <w:r w:rsidRPr="007747CC">
                                <w:rPr>
                                  <w:rStyle w:val="Strong"/>
                                  <w:rFonts w:ascii="Knowledge Black" w:hAnsi="Knowledge Black" w:cs="Arial"/>
                                  <w:color w:val="FF8000"/>
                                  <w:sz w:val="24"/>
                                  <w:szCs w:val="24"/>
                                </w:rPr>
                                <w:t xml:space="preserve"> or use code </w:t>
                              </w:r>
                              <w:r w:rsidRPr="00B26E61">
                                <w:rPr>
                                  <w:rFonts w:ascii="Knowledge Black" w:hAnsi="Knowledge Black" w:cs="Arial"/>
                                  <w:noProof/>
                                  <w:color w:val="FF8000"/>
                                  <w:sz w:val="36"/>
                                  <w:szCs w:val="36"/>
                                </w:rPr>
                                <w:t>Q680</w:t>
                              </w:r>
                              <w:r w:rsidRPr="00B864F6">
                                <w:rPr>
                                  <w:rStyle w:val="Strong"/>
                                  <w:rFonts w:ascii="Knowledge Black" w:hAnsi="Knowledge Black" w:cs="Arial"/>
                                  <w:color w:val="FF8000"/>
                                  <w:sz w:val="36"/>
                                  <w:szCs w:val="36"/>
                                </w:rPr>
                                <w:t xml:space="preserve"> </w:t>
                              </w:r>
                              <w:r w:rsidRPr="007747CC">
                                <w:rPr>
                                  <w:rStyle w:val="Strong"/>
                                  <w:rFonts w:ascii="Knowledge Black" w:hAnsi="Knowledge Black" w:cs="Arial"/>
                                  <w:color w:val="FF8000"/>
                                  <w:sz w:val="24"/>
                                  <w:szCs w:val="24"/>
                                </w:rPr>
                                <w:t>and save up to 20% off!</w:t>
                              </w:r>
                            </w:p>
                          </w:tc>
                        </w:tr>
                        <w:tr w:rsidR="007E5569" w:rsidRPr="007747CC" w14:paraId="1E279C64" w14:textId="77777777" w:rsidTr="0056196E">
                          <w:trPr>
                            <w:trHeight w:val="3470"/>
                          </w:trPr>
                          <w:tc>
                            <w:tcPr>
                              <w:tcW w:w="0" w:type="auto"/>
                              <w:hideMark/>
                            </w:tcPr>
                            <w:tbl>
                              <w:tblPr>
                                <w:tblW w:w="5000" w:type="pct"/>
                                <w:tblCellMar>
                                  <w:left w:w="0" w:type="dxa"/>
                                  <w:right w:w="0" w:type="dxa"/>
                                </w:tblCellMar>
                                <w:tblLook w:val="04A0" w:firstRow="1" w:lastRow="0" w:firstColumn="1" w:lastColumn="0" w:noHBand="0" w:noVBand="1"/>
                              </w:tblPr>
                              <w:tblGrid>
                                <w:gridCol w:w="3337"/>
                              </w:tblGrid>
                              <w:tr w:rsidR="007E5569" w:rsidRPr="007747CC" w14:paraId="2DB72747" w14:textId="77777777" w:rsidTr="0056196E">
                                <w:trPr>
                                  <w:trHeight w:val="2352"/>
                                </w:trPr>
                                <w:tc>
                                  <w:tcPr>
                                    <w:tcW w:w="0" w:type="auto"/>
                                    <w:shd w:val="clear" w:color="auto" w:fill="FFFFFF"/>
                                    <w:tcMar>
                                      <w:top w:w="75" w:type="dxa"/>
                                      <w:left w:w="300" w:type="dxa"/>
                                      <w:bottom w:w="300" w:type="dxa"/>
                                      <w:right w:w="0" w:type="dxa"/>
                                    </w:tcMar>
                                    <w:vAlign w:val="center"/>
                                    <w:hideMark/>
                                  </w:tcPr>
                                  <w:tbl>
                                    <w:tblPr>
                                      <w:tblW w:w="2857" w:type="dxa"/>
                                      <w:jc w:val="center"/>
                                      <w:tblCellMar>
                                        <w:left w:w="0" w:type="dxa"/>
                                        <w:right w:w="0" w:type="dxa"/>
                                      </w:tblCellMar>
                                      <w:tblLook w:val="04A0" w:firstRow="1" w:lastRow="0" w:firstColumn="1" w:lastColumn="0" w:noHBand="0" w:noVBand="1"/>
                                    </w:tblPr>
                                    <w:tblGrid>
                                      <w:gridCol w:w="2857"/>
                                    </w:tblGrid>
                                    <w:tr w:rsidR="007E5569" w:rsidRPr="007747CC" w14:paraId="3A0527AD" w14:textId="77777777" w:rsidTr="0056196E">
                                      <w:trPr>
                                        <w:trHeight w:val="2352"/>
                                        <w:jc w:val="center"/>
                                      </w:trPr>
                                      <w:tc>
                                        <w:tcPr>
                                          <w:tcW w:w="0" w:type="auto"/>
                                          <w:vAlign w:val="center"/>
                                          <w:hideMark/>
                                        </w:tcPr>
                                        <w:p w14:paraId="0ECBC304" w14:textId="77777777" w:rsidR="007E5569" w:rsidRPr="007747CC" w:rsidRDefault="007E5569" w:rsidP="0056196E">
                                          <w:pPr>
                                            <w:jc w:val="center"/>
                                            <w:rPr>
                                              <w:rFonts w:ascii="Knowledge Regular" w:hAnsi="Knowledge Regular" w:cs="Arial"/>
                                              <w:sz w:val="16"/>
                                              <w:szCs w:val="16"/>
                                            </w:rPr>
                                          </w:pPr>
                                          <w:r w:rsidRPr="007747CC">
                                            <w:rPr>
                                              <w:rFonts w:ascii="Knowledge Regular" w:hAnsi="Knowledge Regular" w:cs="Arial"/>
                                              <w:noProof/>
                                              <w:sz w:val="16"/>
                                              <w:szCs w:val="16"/>
                                            </w:rPr>
                                            <w:drawing>
                                              <wp:inline distT="0" distB="0" distL="0" distR="0" wp14:anchorId="3AACD01C" wp14:editId="12B89113">
                                                <wp:extent cx="1714500" cy="17716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771650"/>
                                                        </a:xfrm>
                                                        <a:prstGeom prst="rect">
                                                          <a:avLst/>
                                                        </a:prstGeom>
                                                        <a:noFill/>
                                                        <a:ln>
                                                          <a:noFill/>
                                                        </a:ln>
                                                      </pic:spPr>
                                                    </pic:pic>
                                                  </a:graphicData>
                                                </a:graphic>
                                              </wp:inline>
                                            </w:drawing>
                                          </w:r>
                                        </w:p>
                                      </w:tc>
                                    </w:tr>
                                  </w:tbl>
                                  <w:p w14:paraId="72CFECAA" w14:textId="77777777" w:rsidR="007E5569" w:rsidRPr="007747CC" w:rsidRDefault="007E5569" w:rsidP="0056196E">
                                    <w:pPr>
                                      <w:jc w:val="center"/>
                                      <w:rPr>
                                        <w:rFonts w:ascii="Knowledge Regular" w:eastAsia="Times New Roman" w:hAnsi="Knowledge Regular" w:cs="Times New Roman"/>
                                        <w:sz w:val="16"/>
                                        <w:szCs w:val="16"/>
                                      </w:rPr>
                                    </w:pPr>
                                  </w:p>
                                </w:tc>
                              </w:tr>
                            </w:tbl>
                            <w:p w14:paraId="666A8976" w14:textId="77777777" w:rsidR="007E5569" w:rsidRPr="007747CC" w:rsidRDefault="007E5569" w:rsidP="0056196E">
                              <w:pPr>
                                <w:rPr>
                                  <w:rFonts w:ascii="Knowledge Regular" w:eastAsia="Times New Roman" w:hAnsi="Knowledge Regular" w:cs="Times New Roman"/>
                                  <w:sz w:val="16"/>
                                  <w:szCs w:val="16"/>
                                </w:rPr>
                              </w:pPr>
                            </w:p>
                          </w:tc>
                          <w:tc>
                            <w:tcPr>
                              <w:tcW w:w="400" w:type="pct"/>
                              <w:hideMark/>
                            </w:tcPr>
                            <w:tbl>
                              <w:tblPr>
                                <w:tblW w:w="5000" w:type="pct"/>
                                <w:tblCellMar>
                                  <w:left w:w="0" w:type="dxa"/>
                                  <w:right w:w="0" w:type="dxa"/>
                                </w:tblCellMar>
                                <w:tblLook w:val="04A0" w:firstRow="1" w:lastRow="0" w:firstColumn="1" w:lastColumn="0" w:noHBand="0" w:noVBand="1"/>
                              </w:tblPr>
                              <w:tblGrid>
                                <w:gridCol w:w="786"/>
                              </w:tblGrid>
                              <w:tr w:rsidR="007E5569" w:rsidRPr="007747CC" w14:paraId="46847B8E" w14:textId="77777777" w:rsidTr="0056196E">
                                <w:trPr>
                                  <w:trHeight w:val="237"/>
                                </w:trPr>
                                <w:tc>
                                  <w:tcPr>
                                    <w:tcW w:w="0" w:type="auto"/>
                                    <w:shd w:val="clear" w:color="auto" w:fill="FFFFFF"/>
                                    <w:vAlign w:val="center"/>
                                    <w:hideMark/>
                                  </w:tcPr>
                                  <w:p w14:paraId="20285653" w14:textId="77777777" w:rsidR="007E5569" w:rsidRPr="007747CC" w:rsidRDefault="007E5569" w:rsidP="0056196E">
                                    <w:pPr>
                                      <w:spacing w:line="270" w:lineRule="atLeast"/>
                                      <w:rPr>
                                        <w:rFonts w:ascii="Knowledge Regular" w:hAnsi="Knowledge Regular" w:cs="Arial"/>
                                        <w:color w:val="555555"/>
                                        <w:sz w:val="16"/>
                                        <w:szCs w:val="16"/>
                                      </w:rPr>
                                    </w:pPr>
                                    <w:r w:rsidRPr="007747CC">
                                      <w:rPr>
                                        <w:rFonts w:ascii="Knowledge Regular" w:hAnsi="Knowledge Regular" w:cs="Arial"/>
                                        <w:color w:val="555555"/>
                                        <w:sz w:val="16"/>
                                        <w:szCs w:val="16"/>
                                      </w:rPr>
                                      <w:t> </w:t>
                                    </w:r>
                                  </w:p>
                                </w:tc>
                              </w:tr>
                            </w:tbl>
                            <w:p w14:paraId="6384C269" w14:textId="77777777" w:rsidR="007E5569" w:rsidRPr="007747CC" w:rsidRDefault="007E5569" w:rsidP="0056196E">
                              <w:pPr>
                                <w:rPr>
                                  <w:rFonts w:ascii="Knowledge Regular" w:eastAsia="Times New Roman" w:hAnsi="Knowledge Regular" w:cs="Times New Roman"/>
                                  <w:sz w:val="16"/>
                                  <w:szCs w:val="16"/>
                                </w:rPr>
                              </w:pPr>
                            </w:p>
                          </w:tc>
                          <w:tc>
                            <w:tcPr>
                              <w:tcW w:w="2501" w:type="pct"/>
                              <w:hideMark/>
                            </w:tcPr>
                            <w:tbl>
                              <w:tblPr>
                                <w:tblW w:w="5000" w:type="pct"/>
                                <w:tblCellMar>
                                  <w:left w:w="0" w:type="dxa"/>
                                  <w:right w:w="0" w:type="dxa"/>
                                </w:tblCellMar>
                                <w:tblLook w:val="04A0" w:firstRow="1" w:lastRow="0" w:firstColumn="1" w:lastColumn="0" w:noHBand="0" w:noVBand="1"/>
                              </w:tblPr>
                              <w:tblGrid>
                                <w:gridCol w:w="4911"/>
                              </w:tblGrid>
                              <w:tr w:rsidR="007E5569" w:rsidRPr="007747CC" w14:paraId="1BE051E8" w14:textId="77777777" w:rsidTr="0056196E">
                                <w:trPr>
                                  <w:trHeight w:val="343"/>
                                </w:trPr>
                                <w:tc>
                                  <w:tcPr>
                                    <w:tcW w:w="0" w:type="auto"/>
                                    <w:tcBorders>
                                      <w:top w:val="nil"/>
                                      <w:left w:val="nil"/>
                                      <w:bottom w:val="single" w:sz="8" w:space="0" w:color="AFAFAF"/>
                                      <w:right w:val="nil"/>
                                    </w:tcBorders>
                                    <w:shd w:val="clear" w:color="auto" w:fill="FFFFFF"/>
                                    <w:tcMar>
                                      <w:top w:w="150" w:type="dxa"/>
                                      <w:left w:w="150" w:type="dxa"/>
                                      <w:bottom w:w="150" w:type="dxa"/>
                                      <w:right w:w="300" w:type="dxa"/>
                                    </w:tcMar>
                                    <w:vAlign w:val="center"/>
                                  </w:tcPr>
                                  <w:p w14:paraId="77232F73" w14:textId="77777777" w:rsidR="007E5569" w:rsidRPr="007747CC" w:rsidRDefault="007E5569" w:rsidP="0056196E">
                                    <w:pPr>
                                      <w:spacing w:line="270" w:lineRule="atLeast"/>
                                      <w:rPr>
                                        <w:rFonts w:ascii="Knowledge Light" w:hAnsi="Knowledge Light" w:cs="Arial"/>
                                        <w:color w:val="555555"/>
                                        <w:sz w:val="24"/>
                                        <w:szCs w:val="24"/>
                                      </w:rPr>
                                    </w:pPr>
                                    <w:r w:rsidRPr="007747CC">
                                      <w:rPr>
                                        <w:rFonts w:ascii="Knowledge Light" w:hAnsi="Knowledge Light" w:cs="Arial"/>
                                        <w:color w:val="555555"/>
                                        <w:sz w:val="24"/>
                                        <w:szCs w:val="24"/>
                                      </w:rPr>
                                      <w:t xml:space="preserve">Buy any 1                  </w:t>
                                    </w:r>
                                    <w:r w:rsidRPr="007747CC">
                                      <w:rPr>
                                        <w:rFonts w:ascii="Knowledge Light" w:hAnsi="Knowledge Light" w:cs="Arial"/>
                                        <w:b/>
                                        <w:bCs/>
                                        <w:color w:val="555555"/>
                                        <w:sz w:val="24"/>
                                        <w:szCs w:val="24"/>
                                      </w:rPr>
                                      <w:t>Save 5%</w:t>
                                    </w:r>
                                  </w:p>
                                </w:tc>
                              </w:tr>
                              <w:tr w:rsidR="007E5569" w:rsidRPr="007747CC" w14:paraId="7446C06C" w14:textId="77777777" w:rsidTr="0056196E">
                                <w:trPr>
                                  <w:trHeight w:val="332"/>
                                </w:trPr>
                                <w:tc>
                                  <w:tcPr>
                                    <w:tcW w:w="0" w:type="auto"/>
                                    <w:tcBorders>
                                      <w:top w:val="nil"/>
                                      <w:left w:val="nil"/>
                                      <w:bottom w:val="single" w:sz="8" w:space="0" w:color="AFAFAF"/>
                                      <w:right w:val="nil"/>
                                    </w:tcBorders>
                                    <w:shd w:val="clear" w:color="auto" w:fill="FFFFFF"/>
                                    <w:tcMar>
                                      <w:top w:w="150" w:type="dxa"/>
                                      <w:left w:w="150" w:type="dxa"/>
                                      <w:bottom w:w="150" w:type="dxa"/>
                                      <w:right w:w="300" w:type="dxa"/>
                                    </w:tcMar>
                                    <w:vAlign w:val="center"/>
                                    <w:hideMark/>
                                  </w:tcPr>
                                  <w:p w14:paraId="07B2DFF7" w14:textId="77777777" w:rsidR="007E5569" w:rsidRPr="007747CC" w:rsidRDefault="007E5569" w:rsidP="0056196E">
                                    <w:pPr>
                                      <w:spacing w:line="270" w:lineRule="atLeast"/>
                                      <w:rPr>
                                        <w:rFonts w:ascii="Knowledge Light" w:hAnsi="Knowledge Light" w:cs="Arial"/>
                                        <w:color w:val="555555"/>
                                        <w:sz w:val="24"/>
                                        <w:szCs w:val="24"/>
                                      </w:rPr>
                                    </w:pPr>
                                    <w:r w:rsidRPr="007747CC">
                                      <w:rPr>
                                        <w:rFonts w:ascii="Knowledge Light" w:hAnsi="Knowledge Light" w:cs="Arial"/>
                                        <w:color w:val="555555"/>
                                        <w:sz w:val="24"/>
                                        <w:szCs w:val="24"/>
                                      </w:rPr>
                                      <w:t>Buy any 2                 </w:t>
                                    </w:r>
                                    <w:r w:rsidRPr="007747CC">
                                      <w:rPr>
                                        <w:rStyle w:val="Strong"/>
                                        <w:rFonts w:ascii="Knowledge Light" w:hAnsi="Knowledge Light" w:cs="Arial"/>
                                        <w:color w:val="555555"/>
                                        <w:sz w:val="24"/>
                                        <w:szCs w:val="24"/>
                                      </w:rPr>
                                      <w:t>Save 7%</w:t>
                                    </w:r>
                                  </w:p>
                                </w:tc>
                              </w:tr>
                              <w:tr w:rsidR="007E5569" w:rsidRPr="007747CC" w14:paraId="1035367E" w14:textId="77777777" w:rsidTr="0056196E">
                                <w:trPr>
                                  <w:trHeight w:val="343"/>
                                </w:trPr>
                                <w:tc>
                                  <w:tcPr>
                                    <w:tcW w:w="0" w:type="auto"/>
                                    <w:tcBorders>
                                      <w:top w:val="nil"/>
                                      <w:left w:val="nil"/>
                                      <w:bottom w:val="single" w:sz="8" w:space="0" w:color="AFAFAF"/>
                                      <w:right w:val="nil"/>
                                    </w:tcBorders>
                                    <w:shd w:val="clear" w:color="auto" w:fill="FFFFFF"/>
                                    <w:tcMar>
                                      <w:top w:w="150" w:type="dxa"/>
                                      <w:left w:w="150" w:type="dxa"/>
                                      <w:bottom w:w="150" w:type="dxa"/>
                                      <w:right w:w="300" w:type="dxa"/>
                                    </w:tcMar>
                                    <w:vAlign w:val="center"/>
                                    <w:hideMark/>
                                  </w:tcPr>
                                  <w:p w14:paraId="5950EA31" w14:textId="77777777" w:rsidR="007E5569" w:rsidRPr="007747CC" w:rsidRDefault="007E5569" w:rsidP="0056196E">
                                    <w:pPr>
                                      <w:spacing w:line="270" w:lineRule="atLeast"/>
                                      <w:rPr>
                                        <w:rFonts w:ascii="Knowledge Light" w:hAnsi="Knowledge Light" w:cs="Arial"/>
                                        <w:color w:val="555555"/>
                                        <w:sz w:val="24"/>
                                        <w:szCs w:val="24"/>
                                      </w:rPr>
                                    </w:pPr>
                                    <w:r w:rsidRPr="007747CC">
                                      <w:rPr>
                                        <w:rFonts w:ascii="Knowledge Light" w:hAnsi="Knowledge Light" w:cs="Arial"/>
                                        <w:color w:val="555555"/>
                                        <w:sz w:val="24"/>
                                        <w:szCs w:val="24"/>
                                        <w:shd w:val="clear" w:color="auto" w:fill="FFFFFF"/>
                                      </w:rPr>
                                      <w:t xml:space="preserve">Buy any </w:t>
                                    </w:r>
                                    <w:r w:rsidRPr="007747CC">
                                      <w:rPr>
                                        <w:rFonts w:ascii="Knowledge Light" w:hAnsi="Knowledge Light" w:cs="Arial"/>
                                        <w:color w:val="555555"/>
                                        <w:sz w:val="24"/>
                                        <w:szCs w:val="24"/>
                                      </w:rPr>
                                      <w:t>3 – 5            </w:t>
                                    </w:r>
                                    <w:r w:rsidRPr="007747CC">
                                      <w:rPr>
                                        <w:rStyle w:val="Strong"/>
                                        <w:rFonts w:ascii="Knowledge Light" w:hAnsi="Knowledge Light" w:cs="Arial"/>
                                        <w:color w:val="555555"/>
                                        <w:sz w:val="24"/>
                                        <w:szCs w:val="24"/>
                                      </w:rPr>
                                      <w:t>Save 12%</w:t>
                                    </w:r>
                                  </w:p>
                                </w:tc>
                              </w:tr>
                              <w:tr w:rsidR="007E5569" w:rsidRPr="007747CC" w14:paraId="7089E47B" w14:textId="77777777" w:rsidTr="0056196E">
                                <w:trPr>
                                  <w:trHeight w:val="343"/>
                                </w:trPr>
                                <w:tc>
                                  <w:tcPr>
                                    <w:tcW w:w="0" w:type="auto"/>
                                    <w:tcBorders>
                                      <w:top w:val="nil"/>
                                      <w:left w:val="nil"/>
                                      <w:bottom w:val="single" w:sz="8" w:space="0" w:color="AFAFAF"/>
                                      <w:right w:val="nil"/>
                                    </w:tcBorders>
                                    <w:shd w:val="clear" w:color="auto" w:fill="FFFFFF"/>
                                    <w:tcMar>
                                      <w:top w:w="150" w:type="dxa"/>
                                      <w:left w:w="150" w:type="dxa"/>
                                      <w:bottom w:w="150" w:type="dxa"/>
                                      <w:right w:w="300" w:type="dxa"/>
                                    </w:tcMar>
                                    <w:vAlign w:val="center"/>
                                    <w:hideMark/>
                                  </w:tcPr>
                                  <w:p w14:paraId="64782755" w14:textId="77777777" w:rsidR="007E5569" w:rsidRPr="007747CC" w:rsidRDefault="007E5569" w:rsidP="0056196E">
                                    <w:pPr>
                                      <w:spacing w:line="270" w:lineRule="atLeast"/>
                                      <w:rPr>
                                        <w:rFonts w:ascii="Knowledge Light" w:hAnsi="Knowledge Light" w:cs="Arial"/>
                                        <w:color w:val="555555"/>
                                        <w:sz w:val="24"/>
                                        <w:szCs w:val="24"/>
                                      </w:rPr>
                                    </w:pPr>
                                    <w:r w:rsidRPr="007747CC">
                                      <w:rPr>
                                        <w:rFonts w:ascii="Knowledge Light" w:hAnsi="Knowledge Light" w:cs="Arial"/>
                                        <w:color w:val="555555"/>
                                        <w:sz w:val="24"/>
                                        <w:szCs w:val="24"/>
                                        <w:shd w:val="clear" w:color="auto" w:fill="FFFFFF"/>
                                      </w:rPr>
                                      <w:t xml:space="preserve">Buy any </w:t>
                                    </w:r>
                                    <w:r w:rsidRPr="007747CC">
                                      <w:rPr>
                                        <w:rFonts w:ascii="Knowledge Light" w:hAnsi="Knowledge Light" w:cs="Arial"/>
                                        <w:color w:val="555555"/>
                                        <w:sz w:val="24"/>
                                        <w:szCs w:val="24"/>
                                      </w:rPr>
                                      <w:t>6 – 10          </w:t>
                                    </w:r>
                                    <w:r w:rsidRPr="007747CC">
                                      <w:rPr>
                                        <w:rStyle w:val="Strong"/>
                                        <w:rFonts w:ascii="Knowledge Light" w:hAnsi="Knowledge Light" w:cs="Arial"/>
                                        <w:color w:val="555555"/>
                                        <w:sz w:val="24"/>
                                        <w:szCs w:val="24"/>
                                      </w:rPr>
                                      <w:t>Save 15%</w:t>
                                    </w:r>
                                  </w:p>
                                </w:tc>
                              </w:tr>
                              <w:tr w:rsidR="007E5569" w:rsidRPr="007747CC" w14:paraId="65EA6BC2" w14:textId="77777777" w:rsidTr="0056196E">
                                <w:trPr>
                                  <w:trHeight w:val="332"/>
                                </w:trPr>
                                <w:tc>
                                  <w:tcPr>
                                    <w:tcW w:w="0" w:type="auto"/>
                                    <w:tcBorders>
                                      <w:top w:val="nil"/>
                                      <w:left w:val="nil"/>
                                      <w:bottom w:val="single" w:sz="8" w:space="0" w:color="AFAFAF"/>
                                      <w:right w:val="nil"/>
                                    </w:tcBorders>
                                    <w:shd w:val="clear" w:color="auto" w:fill="FFFFFF"/>
                                    <w:tcMar>
                                      <w:top w:w="150" w:type="dxa"/>
                                      <w:left w:w="150" w:type="dxa"/>
                                      <w:bottom w:w="150" w:type="dxa"/>
                                      <w:right w:w="300" w:type="dxa"/>
                                    </w:tcMar>
                                    <w:vAlign w:val="center"/>
                                    <w:hideMark/>
                                  </w:tcPr>
                                  <w:p w14:paraId="750F4581" w14:textId="77777777" w:rsidR="007E5569" w:rsidRPr="007747CC" w:rsidRDefault="007E5569" w:rsidP="0056196E">
                                    <w:pPr>
                                      <w:spacing w:line="270" w:lineRule="atLeast"/>
                                      <w:rPr>
                                        <w:rFonts w:ascii="Knowledge Light" w:hAnsi="Knowledge Light" w:cs="Arial"/>
                                        <w:color w:val="555555"/>
                                        <w:sz w:val="24"/>
                                        <w:szCs w:val="24"/>
                                      </w:rPr>
                                    </w:pPr>
                                    <w:r w:rsidRPr="007747CC">
                                      <w:rPr>
                                        <w:rFonts w:ascii="Knowledge Light" w:hAnsi="Knowledge Light" w:cs="Arial"/>
                                        <w:color w:val="555555"/>
                                        <w:sz w:val="24"/>
                                        <w:szCs w:val="24"/>
                                        <w:shd w:val="clear" w:color="auto" w:fill="FFFFFF"/>
                                      </w:rPr>
                                      <w:t xml:space="preserve">Buy any </w:t>
                                    </w:r>
                                    <w:r w:rsidRPr="007747CC">
                                      <w:rPr>
                                        <w:rFonts w:ascii="Knowledge Light" w:hAnsi="Knowledge Light" w:cs="Arial"/>
                                        <w:color w:val="555555"/>
                                        <w:sz w:val="24"/>
                                        <w:szCs w:val="24"/>
                                      </w:rPr>
                                      <w:t>11 – 20        </w:t>
                                    </w:r>
                                    <w:r w:rsidRPr="007747CC">
                                      <w:rPr>
                                        <w:rStyle w:val="Strong"/>
                                        <w:rFonts w:ascii="Knowledge Light" w:hAnsi="Knowledge Light" w:cs="Arial"/>
                                        <w:color w:val="555555"/>
                                        <w:sz w:val="24"/>
                                        <w:szCs w:val="24"/>
                                      </w:rPr>
                                      <w:t>Save 17%</w:t>
                                    </w:r>
                                  </w:p>
                                </w:tc>
                              </w:tr>
                              <w:tr w:rsidR="007E5569" w:rsidRPr="007747CC" w14:paraId="20D28CC9" w14:textId="77777777" w:rsidTr="0056196E">
                                <w:trPr>
                                  <w:trHeight w:val="343"/>
                                </w:trPr>
                                <w:tc>
                                  <w:tcPr>
                                    <w:tcW w:w="0" w:type="auto"/>
                                    <w:shd w:val="clear" w:color="auto" w:fill="FFFFFF"/>
                                    <w:tcMar>
                                      <w:top w:w="150" w:type="dxa"/>
                                      <w:left w:w="150" w:type="dxa"/>
                                      <w:bottom w:w="150" w:type="dxa"/>
                                      <w:right w:w="0" w:type="dxa"/>
                                    </w:tcMar>
                                    <w:vAlign w:val="center"/>
                                    <w:hideMark/>
                                  </w:tcPr>
                                  <w:p w14:paraId="6D34E217" w14:textId="77777777" w:rsidR="007E5569" w:rsidRPr="007747CC" w:rsidRDefault="007E5569" w:rsidP="0056196E">
                                    <w:pPr>
                                      <w:spacing w:line="270" w:lineRule="atLeast"/>
                                      <w:rPr>
                                        <w:rFonts w:ascii="Knowledge Light" w:hAnsi="Knowledge Light" w:cs="Arial"/>
                                        <w:color w:val="555555"/>
                                        <w:sz w:val="24"/>
                                        <w:szCs w:val="24"/>
                                      </w:rPr>
                                    </w:pPr>
                                    <w:r w:rsidRPr="007747CC">
                                      <w:rPr>
                                        <w:rFonts w:ascii="Knowledge Light" w:hAnsi="Knowledge Light" w:cs="Arial"/>
                                        <w:color w:val="555555"/>
                                        <w:sz w:val="24"/>
                                        <w:szCs w:val="24"/>
                                        <w:shd w:val="clear" w:color="auto" w:fill="FFFFFF"/>
                                      </w:rPr>
                                      <w:t>Buy any 21+           </w:t>
                                    </w:r>
                                    <w:r w:rsidRPr="007747CC">
                                      <w:rPr>
                                        <w:rFonts w:ascii="Knowledge Light" w:hAnsi="Knowledge Light" w:cs="Arial"/>
                                        <w:color w:val="FF8000"/>
                                        <w:sz w:val="24"/>
                                        <w:szCs w:val="24"/>
                                        <w:shd w:val="clear" w:color="auto" w:fill="FFFFFF"/>
                                      </w:rPr>
                                      <w:t>  </w:t>
                                    </w:r>
                                    <w:r w:rsidRPr="007747CC">
                                      <w:rPr>
                                        <w:rStyle w:val="Strong"/>
                                        <w:rFonts w:ascii="Knowledge Light" w:hAnsi="Knowledge Light" w:cs="Arial"/>
                                        <w:color w:val="555555"/>
                                        <w:sz w:val="24"/>
                                        <w:szCs w:val="24"/>
                                      </w:rPr>
                                      <w:t>Save 20</w:t>
                                    </w:r>
                                    <w:proofErr w:type="gramStart"/>
                                    <w:r w:rsidRPr="007747CC">
                                      <w:rPr>
                                        <w:rStyle w:val="Strong"/>
                                        <w:rFonts w:ascii="Knowledge Light" w:hAnsi="Knowledge Light" w:cs="Arial"/>
                                        <w:color w:val="555555"/>
                                        <w:sz w:val="24"/>
                                        <w:szCs w:val="24"/>
                                      </w:rPr>
                                      <w:t>%  </w:t>
                                    </w:r>
                                    <w:r w:rsidRPr="007747CC">
                                      <w:rPr>
                                        <w:rStyle w:val="Strong"/>
                                        <w:rFonts w:ascii="Knowledge Light" w:hAnsi="Knowledge Light" w:cs="Arial"/>
                                        <w:color w:val="FF8000"/>
                                        <w:sz w:val="24"/>
                                        <w:szCs w:val="24"/>
                                      </w:rPr>
                                      <w:t>(</w:t>
                                    </w:r>
                                    <w:proofErr w:type="gramEnd"/>
                                    <w:r w:rsidRPr="007747CC">
                                      <w:rPr>
                                        <w:rStyle w:val="Strong"/>
                                        <w:rFonts w:ascii="Knowledge Light" w:hAnsi="Knowledge Light" w:cs="Arial"/>
                                        <w:color w:val="FF8000"/>
                                        <w:sz w:val="24"/>
                                        <w:szCs w:val="24"/>
                                      </w:rPr>
                                      <w:t xml:space="preserve">Best Savings!) </w:t>
                                    </w:r>
                                  </w:p>
                                </w:tc>
                              </w:tr>
                            </w:tbl>
                            <w:p w14:paraId="486FBB62" w14:textId="77777777" w:rsidR="007E5569" w:rsidRPr="007747CC" w:rsidRDefault="007E5569" w:rsidP="0056196E">
                              <w:pPr>
                                <w:rPr>
                                  <w:rFonts w:ascii="Knowledge Regular" w:eastAsia="Times New Roman" w:hAnsi="Knowledge Regular" w:cs="Times New Roman"/>
                                  <w:sz w:val="16"/>
                                  <w:szCs w:val="16"/>
                                </w:rPr>
                              </w:pPr>
                            </w:p>
                          </w:tc>
                          <w:tc>
                            <w:tcPr>
                              <w:tcW w:w="400" w:type="pct"/>
                              <w:gridSpan w:val="2"/>
                              <w:hideMark/>
                            </w:tcPr>
                            <w:tbl>
                              <w:tblPr>
                                <w:tblW w:w="5000" w:type="pct"/>
                                <w:tblCellMar>
                                  <w:left w:w="0" w:type="dxa"/>
                                  <w:right w:w="0" w:type="dxa"/>
                                </w:tblCellMar>
                                <w:tblLook w:val="04A0" w:firstRow="1" w:lastRow="0" w:firstColumn="1" w:lastColumn="0" w:noHBand="0" w:noVBand="1"/>
                              </w:tblPr>
                              <w:tblGrid>
                                <w:gridCol w:w="785"/>
                              </w:tblGrid>
                              <w:tr w:rsidR="007E5569" w:rsidRPr="007747CC" w14:paraId="6C6876C8" w14:textId="77777777" w:rsidTr="0056196E">
                                <w:trPr>
                                  <w:trHeight w:val="237"/>
                                </w:trPr>
                                <w:tc>
                                  <w:tcPr>
                                    <w:tcW w:w="0" w:type="auto"/>
                                    <w:shd w:val="clear" w:color="auto" w:fill="FFFFFF"/>
                                    <w:vAlign w:val="center"/>
                                    <w:hideMark/>
                                  </w:tcPr>
                                  <w:p w14:paraId="01747992" w14:textId="77777777" w:rsidR="007E5569" w:rsidRPr="007747CC" w:rsidRDefault="007E5569" w:rsidP="0056196E">
                                    <w:pPr>
                                      <w:spacing w:line="270" w:lineRule="atLeast"/>
                                      <w:rPr>
                                        <w:rFonts w:ascii="Knowledge Regular" w:hAnsi="Knowledge Regular" w:cs="Arial"/>
                                        <w:color w:val="555555"/>
                                        <w:sz w:val="16"/>
                                        <w:szCs w:val="16"/>
                                      </w:rPr>
                                    </w:pPr>
                                    <w:r w:rsidRPr="007747CC">
                                      <w:rPr>
                                        <w:rFonts w:ascii="Knowledge Regular" w:hAnsi="Knowledge Regular" w:cs="Arial"/>
                                        <w:color w:val="555555"/>
                                        <w:sz w:val="16"/>
                                        <w:szCs w:val="16"/>
                                      </w:rPr>
                                      <w:t> </w:t>
                                    </w:r>
                                  </w:p>
                                </w:tc>
                              </w:tr>
                            </w:tbl>
                            <w:p w14:paraId="7EA1BEF4" w14:textId="77777777" w:rsidR="007E5569" w:rsidRPr="007747CC" w:rsidRDefault="007E5569" w:rsidP="0056196E">
                              <w:pPr>
                                <w:rPr>
                                  <w:rFonts w:ascii="Knowledge Regular" w:eastAsia="Times New Roman" w:hAnsi="Knowledge Regular" w:cs="Times New Roman"/>
                                  <w:sz w:val="16"/>
                                  <w:szCs w:val="16"/>
                                </w:rPr>
                              </w:pPr>
                            </w:p>
                          </w:tc>
                        </w:tr>
                        <w:tr w:rsidR="007E5569" w:rsidRPr="007747CC" w14:paraId="60CCF03F" w14:textId="77777777" w:rsidTr="0056196E">
                          <w:trPr>
                            <w:gridAfter w:val="1"/>
                            <w:wAfter w:w="190" w:type="pct"/>
                            <w:trHeight w:val="177"/>
                          </w:trPr>
                          <w:tc>
                            <w:tcPr>
                              <w:tcW w:w="0" w:type="auto"/>
                              <w:gridSpan w:val="4"/>
                              <w:vAlign w:val="center"/>
                              <w:hideMark/>
                            </w:tcPr>
                            <w:p w14:paraId="70A764A5" w14:textId="77777777" w:rsidR="007E5569" w:rsidRPr="00B864F6" w:rsidRDefault="007E5569" w:rsidP="0056196E">
                              <w:pPr>
                                <w:spacing w:line="270" w:lineRule="atLeast"/>
                                <w:rPr>
                                  <w:rFonts w:ascii="Knowledge Light" w:hAnsi="Knowledge Light" w:cs="Arial"/>
                                  <w:color w:val="555555"/>
                                  <w:sz w:val="16"/>
                                  <w:szCs w:val="16"/>
                                </w:rPr>
                              </w:pPr>
                              <w:r w:rsidRPr="007747CC">
                                <w:rPr>
                                  <w:rFonts w:ascii="Knowledge Regular" w:hAnsi="Knowledge Regular" w:cs="Arial"/>
                                  <w:color w:val="555555"/>
                                  <w:sz w:val="16"/>
                                  <w:szCs w:val="16"/>
                                </w:rPr>
                                <w:t> </w:t>
                              </w:r>
                              <w:r w:rsidRPr="00B864F6">
                                <w:rPr>
                                  <w:rFonts w:ascii="Knowledge Light" w:hAnsi="Knowledge Light"/>
                                  <w:color w:val="555555"/>
                                  <w:sz w:val="16"/>
                                  <w:szCs w:val="16"/>
                                </w:rPr>
                                <w:t xml:space="preserve">Savings of up to 20% applies to new orders place by April 14, 2021. Savings promotion excludes Checkpoint, RIA, PPC, and Checkpoint Learning CPE and may not be combined with any other offers. Please call 1-800-431-9025 and mention </w:t>
                              </w:r>
                              <w:r w:rsidRPr="00B26E61">
                                <w:rPr>
                                  <w:rFonts w:ascii="Knowledge Light" w:hAnsi="Knowledge Light"/>
                                  <w:noProof/>
                                  <w:color w:val="555555"/>
                                  <w:sz w:val="16"/>
                                  <w:szCs w:val="16"/>
                                </w:rPr>
                                <w:t>National Association of Tax Professionals (NATP)</w:t>
                              </w:r>
                              <w:r w:rsidRPr="00B864F6">
                                <w:rPr>
                                  <w:rFonts w:ascii="Knowledge Light" w:hAnsi="Knowledge Light"/>
                                  <w:color w:val="555555"/>
                                  <w:sz w:val="16"/>
                                  <w:szCs w:val="16"/>
                                </w:rPr>
                                <w:t xml:space="preserve"> or visit </w:t>
                              </w:r>
                              <w:r w:rsidRPr="00B26E61">
                                <w:rPr>
                                  <w:rFonts w:ascii="Knowledge Light" w:hAnsi="Knowledge Light"/>
                                  <w:noProof/>
                                  <w:color w:val="555555"/>
                                  <w:sz w:val="16"/>
                                  <w:szCs w:val="16"/>
                                </w:rPr>
                                <w:t>tax.tr.com/NATP</w:t>
                              </w:r>
                              <w:r w:rsidRPr="00B864F6">
                                <w:rPr>
                                  <w:rFonts w:ascii="Knowledge Light" w:hAnsi="Knowledge Light"/>
                                  <w:color w:val="555555"/>
                                  <w:sz w:val="16"/>
                                  <w:szCs w:val="16"/>
                                </w:rPr>
                                <w:t xml:space="preserve"> to order.</w:t>
                              </w:r>
                            </w:p>
                          </w:tc>
                        </w:tr>
                      </w:tbl>
                      <w:p w14:paraId="312986B7" w14:textId="77777777" w:rsidR="007E5569" w:rsidRPr="007747CC" w:rsidRDefault="007E5569" w:rsidP="0056196E">
                        <w:pPr>
                          <w:rPr>
                            <w:rFonts w:ascii="Knowledge Regular" w:eastAsia="Times New Roman" w:hAnsi="Knowledge Regular" w:cs="Times New Roman"/>
                            <w:sz w:val="16"/>
                            <w:szCs w:val="16"/>
                          </w:rPr>
                        </w:pPr>
                      </w:p>
                    </w:tc>
                  </w:tr>
                </w:tbl>
                <w:p w14:paraId="2DC9696C" w14:textId="77777777" w:rsidR="007E5569" w:rsidRPr="007747CC" w:rsidRDefault="007E5569" w:rsidP="0056196E">
                  <w:pPr>
                    <w:rPr>
                      <w:rFonts w:ascii="Knowledge Regular" w:eastAsia="Times New Roman" w:hAnsi="Knowledge Regular" w:cs="Times New Roman"/>
                      <w:sz w:val="16"/>
                      <w:szCs w:val="16"/>
                    </w:rPr>
                  </w:pPr>
                </w:p>
              </w:tc>
            </w:tr>
          </w:tbl>
          <w:p w14:paraId="3C58F197" w14:textId="77777777" w:rsidR="007E5569" w:rsidRPr="007747CC" w:rsidRDefault="007E5569" w:rsidP="0056196E">
            <w:pPr>
              <w:rPr>
                <w:rFonts w:ascii="Knowledge Regular" w:eastAsia="Times New Roman" w:hAnsi="Knowledge Regular" w:cs="Times New Roman"/>
                <w:sz w:val="16"/>
                <w:szCs w:val="16"/>
              </w:rPr>
            </w:pPr>
          </w:p>
        </w:tc>
      </w:tr>
      <w:tr w:rsidR="007E5569" w:rsidRPr="00B864F6" w14:paraId="751B7D8F" w14:textId="77777777" w:rsidTr="0056196E">
        <w:trPr>
          <w:trHeight w:val="2555"/>
        </w:trPr>
        <w:tc>
          <w:tcPr>
            <w:tcW w:w="0" w:type="auto"/>
            <w:shd w:val="clear" w:color="auto" w:fill="FFFFFF"/>
            <w:vAlign w:val="center"/>
            <w:hideMark/>
          </w:tcPr>
          <w:p w14:paraId="14313D20" w14:textId="77777777" w:rsidR="007E5569" w:rsidRPr="00B864F6" w:rsidRDefault="007E5569" w:rsidP="0056196E">
            <w:pPr>
              <w:spacing w:line="450" w:lineRule="atLeast"/>
              <w:jc w:val="center"/>
              <w:rPr>
                <w:rStyle w:val="Strong"/>
                <w:rFonts w:ascii="Knowledge Black" w:hAnsi="Knowledge Black"/>
                <w:color w:val="FF8000"/>
                <w:sz w:val="30"/>
                <w:szCs w:val="30"/>
              </w:rPr>
            </w:pPr>
            <w:r w:rsidRPr="00B864F6">
              <w:rPr>
                <w:rStyle w:val="Strong"/>
                <w:rFonts w:ascii="Knowledge Black" w:hAnsi="Knowledge Black"/>
                <w:color w:val="FF8000"/>
                <w:sz w:val="36"/>
                <w:szCs w:val="36"/>
              </w:rPr>
              <w:t>New</w:t>
            </w:r>
            <w:r w:rsidRPr="00B864F6">
              <w:rPr>
                <w:rStyle w:val="Strong"/>
                <w:rFonts w:ascii="Knowledge Black" w:hAnsi="Knowledge Black"/>
                <w:color w:val="FF8000"/>
                <w:sz w:val="30"/>
                <w:szCs w:val="30"/>
              </w:rPr>
              <w:t xml:space="preserve">! Save 10% on all new purchases of PPC/RIA Print Publications with promotion code </w:t>
            </w:r>
            <w:r w:rsidRPr="00B864F6">
              <w:rPr>
                <w:rStyle w:val="Strong"/>
                <w:rFonts w:ascii="Knowledge Black" w:hAnsi="Knowledge Black"/>
                <w:color w:val="FF8000"/>
                <w:sz w:val="36"/>
                <w:szCs w:val="36"/>
              </w:rPr>
              <w:t>PRINT</w:t>
            </w:r>
            <w:proofErr w:type="gramStart"/>
            <w:r w:rsidRPr="00B864F6">
              <w:rPr>
                <w:rStyle w:val="Strong"/>
                <w:rFonts w:ascii="Knowledge Black" w:hAnsi="Knowledge Black"/>
                <w:color w:val="FF8000"/>
                <w:sz w:val="36"/>
                <w:szCs w:val="36"/>
              </w:rPr>
              <w:t>10</w:t>
            </w:r>
            <w:r w:rsidRPr="00B864F6">
              <w:rPr>
                <w:rStyle w:val="Strong"/>
                <w:rFonts w:ascii="Knowledge Black" w:hAnsi="Knowledge Black"/>
                <w:color w:val="FF8000"/>
                <w:sz w:val="30"/>
                <w:szCs w:val="30"/>
              </w:rPr>
              <w:t>.*</w:t>
            </w:r>
            <w:proofErr w:type="gramEnd"/>
          </w:p>
          <w:p w14:paraId="4002B85C" w14:textId="77777777" w:rsidR="007E5569" w:rsidRPr="007747CC" w:rsidRDefault="007E5569" w:rsidP="0056196E">
            <w:pPr>
              <w:spacing w:line="293" w:lineRule="atLeast"/>
              <w:rPr>
                <w:rFonts w:ascii="Knowledge Regular" w:hAnsi="Knowledge Regular" w:cs="Arial"/>
                <w:color w:val="555555"/>
                <w:sz w:val="18"/>
                <w:szCs w:val="18"/>
              </w:rPr>
            </w:pPr>
            <w:r w:rsidRPr="007747CC">
              <w:rPr>
                <w:rFonts w:ascii="Knowledge Regular" w:hAnsi="Knowledge Regular" w:cs="Arial"/>
                <w:color w:val="555555"/>
                <w:sz w:val="18"/>
                <w:szCs w:val="18"/>
              </w:rPr>
              <w:t>With the new legislation, PPC and RIA publications are a valuable resource for additional guidance to help you proactively identify solutions to better serve your client’s unique needs in these challenging times. Choose from over 80 titles to best meet your practices needs.  Call 1-800-431-9025 Option 1, and then Option 2 to speak with your local sales representative or use promotion code PRINT10 when purchasing online at tax.tr.com/</w:t>
            </w:r>
            <w:proofErr w:type="spellStart"/>
            <w:r w:rsidRPr="007747CC">
              <w:rPr>
                <w:rFonts w:ascii="Knowledge Regular" w:hAnsi="Knowledge Regular" w:cs="Arial"/>
                <w:color w:val="555555"/>
                <w:sz w:val="18"/>
                <w:szCs w:val="18"/>
              </w:rPr>
              <w:t>ppc</w:t>
            </w:r>
            <w:proofErr w:type="spellEnd"/>
            <w:r w:rsidRPr="007747CC">
              <w:rPr>
                <w:rFonts w:ascii="Knowledge Regular" w:hAnsi="Knowledge Regular" w:cs="Arial"/>
                <w:color w:val="555555"/>
                <w:sz w:val="18"/>
                <w:szCs w:val="18"/>
              </w:rPr>
              <w:t>.</w:t>
            </w:r>
          </w:p>
          <w:p w14:paraId="4367830E" w14:textId="77777777" w:rsidR="007E5569" w:rsidRPr="00B864F6" w:rsidRDefault="007E5569" w:rsidP="0056196E">
            <w:pPr>
              <w:rPr>
                <w:rFonts w:ascii="Knowledge Light" w:hAnsi="Knowledge Light" w:cs="Arial"/>
                <w:color w:val="555555"/>
                <w:sz w:val="16"/>
                <w:szCs w:val="16"/>
              </w:rPr>
            </w:pPr>
            <w:r w:rsidRPr="00B864F6">
              <w:rPr>
                <w:rFonts w:ascii="Knowledge Light" w:hAnsi="Knowledge Light" w:cs="Arial"/>
                <w:color w:val="333333"/>
                <w:sz w:val="16"/>
                <w:szCs w:val="16"/>
                <w:shd w:val="clear" w:color="auto" w:fill="FFFFFF"/>
              </w:rPr>
              <w:t xml:space="preserve">*Savings of up to 10% applies to new PPC/RIA Print orders placed by December 30, 2020. Savings promotion excludes Checkpoint, </w:t>
            </w:r>
            <w:proofErr w:type="spellStart"/>
            <w:r w:rsidRPr="00B864F6">
              <w:rPr>
                <w:rFonts w:ascii="Knowledge Light" w:hAnsi="Knowledge Light" w:cs="Arial"/>
                <w:color w:val="333333"/>
                <w:sz w:val="16"/>
                <w:szCs w:val="16"/>
                <w:shd w:val="clear" w:color="auto" w:fill="FFFFFF"/>
              </w:rPr>
              <w:t>Quickfinder</w:t>
            </w:r>
            <w:proofErr w:type="spellEnd"/>
            <w:r w:rsidRPr="00B864F6">
              <w:rPr>
                <w:rFonts w:ascii="Knowledge Light" w:hAnsi="Knowledge Light" w:cs="Arial"/>
                <w:color w:val="333333"/>
                <w:sz w:val="16"/>
                <w:szCs w:val="16"/>
                <w:shd w:val="clear" w:color="auto" w:fill="FFFFFF"/>
              </w:rPr>
              <w:t>, and Checkpoint Learning CPE and may not be combined with any other offers.</w:t>
            </w:r>
          </w:p>
        </w:tc>
      </w:tr>
    </w:tbl>
    <w:p w14:paraId="6F6A6551" w14:textId="77777777" w:rsidR="00E34467" w:rsidRDefault="007E5569"/>
    <w:sectPr w:rsidR="00E3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nowledge Black">
    <w:panose1 w:val="020B0503000000020004"/>
    <w:charset w:val="00"/>
    <w:family w:val="swiss"/>
    <w:notTrueType/>
    <w:pitch w:val="variable"/>
    <w:sig w:usb0="A00002E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Knowledge Regular">
    <w:panose1 w:val="020B0506000000020004"/>
    <w:charset w:val="00"/>
    <w:family w:val="swiss"/>
    <w:notTrueType/>
    <w:pitch w:val="variable"/>
    <w:sig w:usb0="A00002EF" w:usb1="5000204A" w:usb2="00000000" w:usb3="00000000" w:csb0="0000009F" w:csb1="00000000"/>
  </w:font>
  <w:font w:name="Knowledge Light">
    <w:panose1 w:val="020B0506040000020004"/>
    <w:charset w:val="00"/>
    <w:family w:val="swiss"/>
    <w:notTrueType/>
    <w:pitch w:val="variable"/>
    <w:sig w:usb0="A00002E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69"/>
    <w:rsid w:val="001357E7"/>
    <w:rsid w:val="007E5569"/>
    <w:rsid w:val="0097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357B"/>
  <w15:chartTrackingRefBased/>
  <w15:docId w15:val="{D991869E-7E54-4F7B-A911-82D012D3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5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ED2D9C144014EB2FA21FBBC482228" ma:contentTypeVersion="13" ma:contentTypeDescription="Create a new document." ma:contentTypeScope="" ma:versionID="346945496f5e993b5d1365744edc7e0e">
  <xsd:schema xmlns:xsd="http://www.w3.org/2001/XMLSchema" xmlns:xs="http://www.w3.org/2001/XMLSchema" xmlns:p="http://schemas.microsoft.com/office/2006/metadata/properties" xmlns:ns3="fc3c058d-76ed-4b5c-b192-fa429bd65ce7" xmlns:ns4="25a47d53-44dd-402c-bb73-8d91c6a3f200" targetNamespace="http://schemas.microsoft.com/office/2006/metadata/properties" ma:root="true" ma:fieldsID="0bdc52ec9730084040ff9c0af31b928b" ns3:_="" ns4:_="">
    <xsd:import namespace="fc3c058d-76ed-4b5c-b192-fa429bd65ce7"/>
    <xsd:import namespace="25a47d53-44dd-402c-bb73-8d91c6a3f2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c058d-76ed-4b5c-b192-fa429bd65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47d53-44dd-402c-bb73-8d91c6a3f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1F88D-385A-4739-BA5E-47B8358A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c058d-76ed-4b5c-b192-fa429bd65ce7"/>
    <ds:schemaRef ds:uri="25a47d53-44dd-402c-bb73-8d91c6a3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06B2E-73C9-4E2E-9D96-546A7A21F109}">
  <ds:schemaRefs>
    <ds:schemaRef ds:uri="http://schemas.microsoft.com/sharepoint/v3/contenttype/forms"/>
  </ds:schemaRefs>
</ds:datastoreItem>
</file>

<file path=customXml/itemProps3.xml><?xml version="1.0" encoding="utf-8"?>
<ds:datastoreItem xmlns:ds="http://schemas.openxmlformats.org/officeDocument/2006/customXml" ds:itemID="{DC262920-CB5C-4A0D-B5D6-5745A9EE0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Elizabeth (Print)</dc:creator>
  <cp:keywords/>
  <dc:description/>
  <cp:lastModifiedBy>Jones, Elizabeth (Print)</cp:lastModifiedBy>
  <cp:revision>1</cp:revision>
  <dcterms:created xsi:type="dcterms:W3CDTF">2020-10-14T19:47:00Z</dcterms:created>
  <dcterms:modified xsi:type="dcterms:W3CDTF">2020-10-14T19:47:00Z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0x010100213ED2D9C144014EB2FA21FBBC482228</vt:lpwstr>
  </property>
</Properties>
</file>